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CD57" w14:textId="77777777" w:rsidR="00B048E0" w:rsidRDefault="00B048E0" w:rsidP="0080538F">
      <w:pPr>
        <w:jc w:val="center"/>
        <w:rPr>
          <w:b/>
          <w:sz w:val="28"/>
          <w:szCs w:val="28"/>
          <w:u w:val="single"/>
        </w:rPr>
      </w:pPr>
      <w:r>
        <w:rPr>
          <w:b/>
          <w:sz w:val="28"/>
          <w:szCs w:val="28"/>
          <w:u w:val="single"/>
        </w:rPr>
        <w:t>ACCESSING LOGIC MANAGER</w:t>
      </w:r>
    </w:p>
    <w:p w14:paraId="0BF73915" w14:textId="77777777" w:rsidR="00B048E0" w:rsidRPr="000F38EC" w:rsidRDefault="00B048E0" w:rsidP="000F38EC">
      <w:pPr>
        <w:pStyle w:val="ListParagraph"/>
        <w:numPr>
          <w:ilvl w:val="0"/>
          <w:numId w:val="3"/>
        </w:numPr>
        <w:ind w:left="284"/>
        <w:rPr>
          <w:bCs/>
        </w:rPr>
      </w:pPr>
      <w:r w:rsidRPr="000F38EC">
        <w:rPr>
          <w:bCs/>
        </w:rPr>
        <w:t>The hyperlink below will take you to the Office of Risk Assurance &amp; Compliance (ORAC) resources page, where you will find the access to Logic Manager:</w:t>
      </w:r>
    </w:p>
    <w:p w14:paraId="26559021" w14:textId="77777777" w:rsidR="00B048E0" w:rsidRDefault="00454329" w:rsidP="00B048E0">
      <w:pPr>
        <w:rPr>
          <w:bCs/>
        </w:rPr>
      </w:pPr>
      <w:hyperlink r:id="rId5" w:history="1">
        <w:r w:rsidR="00B048E0" w:rsidRPr="00085AB5">
          <w:rPr>
            <w:rStyle w:val="Hyperlink"/>
            <w:bCs/>
          </w:rPr>
          <w:t>https://www.otago.ac.nz/risk/resources</w:t>
        </w:r>
      </w:hyperlink>
    </w:p>
    <w:p w14:paraId="3B870FFD" w14:textId="77777777" w:rsidR="00B048E0" w:rsidRDefault="00B048E0" w:rsidP="00B048E0">
      <w:pPr>
        <w:rPr>
          <w:bCs/>
        </w:rPr>
      </w:pPr>
      <w:r>
        <w:rPr>
          <w:noProof/>
        </w:rPr>
        <w:drawing>
          <wp:inline distT="0" distB="0" distL="0" distR="0" wp14:anchorId="043AB073" wp14:editId="492C4382">
            <wp:extent cx="2247900" cy="1506767"/>
            <wp:effectExtent l="0" t="0" r="0" b="0"/>
            <wp:docPr id="763274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74068" name=""/>
                    <pic:cNvPicPr/>
                  </pic:nvPicPr>
                  <pic:blipFill>
                    <a:blip r:embed="rId6"/>
                    <a:stretch>
                      <a:fillRect/>
                    </a:stretch>
                  </pic:blipFill>
                  <pic:spPr>
                    <a:xfrm>
                      <a:off x="0" y="0"/>
                      <a:ext cx="2255295" cy="1511724"/>
                    </a:xfrm>
                    <a:prstGeom prst="rect">
                      <a:avLst/>
                    </a:prstGeom>
                  </pic:spPr>
                </pic:pic>
              </a:graphicData>
            </a:graphic>
          </wp:inline>
        </w:drawing>
      </w:r>
    </w:p>
    <w:p w14:paraId="477D3A1F" w14:textId="77777777" w:rsidR="00B048E0" w:rsidRDefault="00B048E0" w:rsidP="00F31857">
      <w:pPr>
        <w:spacing w:after="0"/>
        <w:rPr>
          <w:bCs/>
        </w:rPr>
      </w:pPr>
    </w:p>
    <w:p w14:paraId="2A2B8F9B" w14:textId="77777777" w:rsidR="00F31857" w:rsidRDefault="00F31857" w:rsidP="00F31857">
      <w:pPr>
        <w:spacing w:after="0"/>
        <w:rPr>
          <w:bCs/>
        </w:rPr>
      </w:pPr>
      <w:r>
        <w:rPr>
          <w:bCs/>
        </w:rPr>
        <w:t xml:space="preserve">You may have to provide your </w:t>
      </w:r>
      <w:proofErr w:type="spellStart"/>
      <w:r>
        <w:rPr>
          <w:bCs/>
        </w:rPr>
        <w:t>UoO</w:t>
      </w:r>
      <w:proofErr w:type="spellEnd"/>
      <w:r>
        <w:rPr>
          <w:bCs/>
        </w:rPr>
        <w:t xml:space="preserve"> email address and password.</w:t>
      </w:r>
    </w:p>
    <w:p w14:paraId="6430E6B4" w14:textId="77777777" w:rsidR="00F31857" w:rsidRDefault="00F31857" w:rsidP="00F31857">
      <w:pPr>
        <w:spacing w:after="0"/>
        <w:rPr>
          <w:bCs/>
          <w:u w:val="single"/>
        </w:rPr>
      </w:pPr>
    </w:p>
    <w:p w14:paraId="430F667A" w14:textId="77777777" w:rsidR="00B048E0" w:rsidRDefault="00F31857" w:rsidP="00F31857">
      <w:pPr>
        <w:spacing w:after="0"/>
        <w:rPr>
          <w:bCs/>
          <w:u w:val="single"/>
        </w:rPr>
      </w:pPr>
      <w:r w:rsidRPr="00F31857">
        <w:rPr>
          <w:bCs/>
          <w:u w:val="single"/>
        </w:rPr>
        <w:t>If logging on from an external location (off campus) you may need to have your MS Authenticator on your mobile device for two step authentication.</w:t>
      </w:r>
    </w:p>
    <w:p w14:paraId="40DB1D0E" w14:textId="77777777" w:rsidR="00F31857" w:rsidRDefault="00F31857" w:rsidP="00F31857">
      <w:pPr>
        <w:spacing w:after="0"/>
        <w:rPr>
          <w:bCs/>
          <w:u w:val="single"/>
        </w:rPr>
      </w:pPr>
    </w:p>
    <w:p w14:paraId="30F6678C" w14:textId="77777777" w:rsidR="00F31857" w:rsidRDefault="00F31857" w:rsidP="00F31857">
      <w:pPr>
        <w:spacing w:after="0"/>
        <w:rPr>
          <w:bCs/>
          <w:u w:val="single"/>
        </w:rPr>
      </w:pPr>
      <w:r>
        <w:rPr>
          <w:bCs/>
          <w:u w:val="single"/>
        </w:rPr>
        <w:t>Save the internet page as a favourite, so that you can return to Logic Manager without having to visit the ORAC web page.</w:t>
      </w:r>
    </w:p>
    <w:p w14:paraId="60970DE1" w14:textId="77777777" w:rsidR="00F54C25" w:rsidRDefault="0080538F" w:rsidP="0080538F">
      <w:pPr>
        <w:jc w:val="center"/>
        <w:rPr>
          <w:b/>
          <w:sz w:val="28"/>
          <w:szCs w:val="28"/>
          <w:u w:val="single"/>
        </w:rPr>
      </w:pPr>
      <w:r w:rsidRPr="00B10833">
        <w:rPr>
          <w:b/>
          <w:sz w:val="28"/>
          <w:szCs w:val="28"/>
          <w:u w:val="single"/>
        </w:rPr>
        <w:t xml:space="preserve">REVIEWING A </w:t>
      </w:r>
      <w:r w:rsidR="00B048E0">
        <w:rPr>
          <w:b/>
          <w:sz w:val="28"/>
          <w:szCs w:val="28"/>
          <w:u w:val="single"/>
        </w:rPr>
        <w:t>LOGIC MANAGER</w:t>
      </w:r>
      <w:r w:rsidR="00B10833">
        <w:rPr>
          <w:b/>
          <w:sz w:val="28"/>
          <w:szCs w:val="28"/>
          <w:u w:val="single"/>
        </w:rPr>
        <w:t xml:space="preserve"> </w:t>
      </w:r>
      <w:r w:rsidRPr="00B10833">
        <w:rPr>
          <w:b/>
          <w:sz w:val="28"/>
          <w:szCs w:val="28"/>
          <w:u w:val="single"/>
        </w:rPr>
        <w:t>RISK FILE</w:t>
      </w:r>
    </w:p>
    <w:p w14:paraId="704425E3" w14:textId="77777777" w:rsidR="00853FAB" w:rsidRDefault="00853FAB" w:rsidP="00853FAB">
      <w:pPr>
        <w:pStyle w:val="ListParagraph"/>
        <w:widowControl w:val="0"/>
        <w:autoSpaceDE w:val="0"/>
        <w:autoSpaceDN w:val="0"/>
        <w:spacing w:before="4" w:after="0" w:line="252" w:lineRule="exact"/>
        <w:ind w:left="0"/>
        <w:contextualSpacing w:val="0"/>
      </w:pPr>
      <w:r>
        <w:t>Please ensure that your division has a ‘formally’ documented risk management review process, risks should be reviewed at least monthly and after any material change or event. One method for achieving this, is to add ‘risk management’ to the agenda for internal meetings, from grass roots (individual teams) up to SLT/SMT meetings, see below.</w:t>
      </w:r>
    </w:p>
    <w:p w14:paraId="016E5DB2" w14:textId="77777777" w:rsidR="00853FAB" w:rsidRDefault="00853FAB" w:rsidP="00853FAB">
      <w:pPr>
        <w:spacing w:line="252" w:lineRule="exact"/>
      </w:pPr>
    </w:p>
    <w:p w14:paraId="020D1C42" w14:textId="77777777" w:rsidR="00853FAB" w:rsidRDefault="00853FAB" w:rsidP="00853FAB">
      <w:pPr>
        <w:spacing w:line="252" w:lineRule="exact"/>
      </w:pPr>
      <w:r>
        <w:rPr>
          <w:noProof/>
        </w:rPr>
        <w:drawing>
          <wp:anchor distT="0" distB="0" distL="114300" distR="114300" simplePos="0" relativeHeight="251664384" behindDoc="0" locked="0" layoutInCell="1" allowOverlap="1" wp14:anchorId="084FF100" wp14:editId="7DDD5095">
            <wp:simplePos x="0" y="0"/>
            <wp:positionH relativeFrom="margin">
              <wp:posOffset>730250</wp:posOffset>
            </wp:positionH>
            <wp:positionV relativeFrom="paragraph">
              <wp:posOffset>1905</wp:posOffset>
            </wp:positionV>
            <wp:extent cx="4596236" cy="2584450"/>
            <wp:effectExtent l="0" t="0" r="0" b="6350"/>
            <wp:wrapNone/>
            <wp:docPr id="1155847990" name="Picture 1" descr="A diagram of a company's me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47990" name="Picture 1" descr="A diagram of a company's meet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96236" cy="2584450"/>
                    </a:xfrm>
                    <a:prstGeom prst="rect">
                      <a:avLst/>
                    </a:prstGeom>
                  </pic:spPr>
                </pic:pic>
              </a:graphicData>
            </a:graphic>
            <wp14:sizeRelH relativeFrom="margin">
              <wp14:pctWidth>0</wp14:pctWidth>
            </wp14:sizeRelH>
            <wp14:sizeRelV relativeFrom="margin">
              <wp14:pctHeight>0</wp14:pctHeight>
            </wp14:sizeRelV>
          </wp:anchor>
        </w:drawing>
      </w:r>
    </w:p>
    <w:p w14:paraId="4C01B1FF" w14:textId="77777777" w:rsidR="00853FAB" w:rsidRDefault="00853FAB" w:rsidP="00853FAB">
      <w:pPr>
        <w:spacing w:line="252" w:lineRule="exact"/>
      </w:pPr>
    </w:p>
    <w:p w14:paraId="78165471" w14:textId="77777777" w:rsidR="00853FAB" w:rsidRDefault="00853FAB" w:rsidP="00853FAB">
      <w:pPr>
        <w:spacing w:line="252" w:lineRule="exact"/>
      </w:pPr>
    </w:p>
    <w:p w14:paraId="0BB26B9D" w14:textId="77777777" w:rsidR="00853FAB" w:rsidRDefault="00853FAB" w:rsidP="00853FAB">
      <w:pPr>
        <w:spacing w:line="252" w:lineRule="exact"/>
      </w:pPr>
    </w:p>
    <w:p w14:paraId="56D7238D" w14:textId="77777777" w:rsidR="00853FAB" w:rsidRDefault="00853FAB" w:rsidP="00853FAB">
      <w:pPr>
        <w:spacing w:line="252" w:lineRule="exact"/>
      </w:pPr>
    </w:p>
    <w:p w14:paraId="167BB6EF" w14:textId="77777777" w:rsidR="00853FAB" w:rsidRDefault="00853FAB" w:rsidP="00853FAB">
      <w:pPr>
        <w:spacing w:line="252" w:lineRule="exact"/>
      </w:pPr>
    </w:p>
    <w:p w14:paraId="2325B915" w14:textId="77777777" w:rsidR="00853FAB" w:rsidRDefault="00853FAB" w:rsidP="00853FAB">
      <w:pPr>
        <w:spacing w:line="252" w:lineRule="exact"/>
      </w:pPr>
    </w:p>
    <w:p w14:paraId="793A0E54" w14:textId="77777777" w:rsidR="00853FAB" w:rsidRDefault="00853FAB" w:rsidP="00853FAB">
      <w:pPr>
        <w:spacing w:line="252" w:lineRule="exact"/>
      </w:pPr>
    </w:p>
    <w:p w14:paraId="43449318" w14:textId="77777777" w:rsidR="00853FAB" w:rsidRDefault="00853FAB" w:rsidP="00853FAB">
      <w:pPr>
        <w:spacing w:line="252" w:lineRule="exact"/>
      </w:pPr>
    </w:p>
    <w:p w14:paraId="38CBCCD2" w14:textId="77777777" w:rsidR="00853FAB" w:rsidRDefault="00853FAB" w:rsidP="00853FAB">
      <w:pPr>
        <w:spacing w:line="252" w:lineRule="exact"/>
      </w:pPr>
    </w:p>
    <w:p w14:paraId="7D7D6A9A" w14:textId="77777777" w:rsidR="00853FAB" w:rsidRDefault="00853FAB" w:rsidP="00853FAB">
      <w:pPr>
        <w:spacing w:line="252" w:lineRule="exact"/>
      </w:pPr>
    </w:p>
    <w:p w14:paraId="4F6F9FBD" w14:textId="77777777" w:rsidR="00853FAB" w:rsidRDefault="00853FAB" w:rsidP="00853FAB">
      <w:pPr>
        <w:spacing w:line="252" w:lineRule="exact"/>
        <w:ind w:left="142"/>
      </w:pPr>
      <w:r>
        <w:t xml:space="preserve">Very High and High divisional risks should be known by the appropriate SLT member and their Directors / </w:t>
      </w:r>
      <w:proofErr w:type="spellStart"/>
      <w:r>
        <w:t>HoD’s</w:t>
      </w:r>
      <w:proofErr w:type="spellEnd"/>
      <w:r>
        <w:t xml:space="preserve"> etc. Some risks take time to reduce and some never do, some even go up before they come down…that’s all OK providing there is documented justification. </w:t>
      </w:r>
    </w:p>
    <w:p w14:paraId="3E5151C8" w14:textId="77777777" w:rsidR="00853FAB" w:rsidRDefault="00853FAB" w:rsidP="0080538F">
      <w:pPr>
        <w:jc w:val="center"/>
        <w:rPr>
          <w:b/>
          <w:sz w:val="28"/>
          <w:szCs w:val="28"/>
          <w:u w:val="single"/>
        </w:rPr>
      </w:pPr>
    </w:p>
    <w:p w14:paraId="3826F7D7" w14:textId="77777777" w:rsidR="00853FAB" w:rsidRDefault="00853FAB" w:rsidP="0080538F">
      <w:pPr>
        <w:jc w:val="center"/>
        <w:rPr>
          <w:b/>
          <w:sz w:val="28"/>
          <w:szCs w:val="28"/>
          <w:u w:val="single"/>
        </w:rPr>
      </w:pPr>
    </w:p>
    <w:p w14:paraId="203ED20B" w14:textId="77777777" w:rsidR="00853FAB" w:rsidRPr="00B10833" w:rsidRDefault="00853FAB" w:rsidP="0080538F">
      <w:pPr>
        <w:jc w:val="center"/>
        <w:rPr>
          <w:b/>
          <w:sz w:val="28"/>
          <w:szCs w:val="28"/>
          <w:u w:val="single"/>
        </w:rPr>
      </w:pPr>
    </w:p>
    <w:p w14:paraId="1DFC5046" w14:textId="77777777" w:rsidR="002B362F" w:rsidRPr="002B362F" w:rsidRDefault="002B362F" w:rsidP="002B362F">
      <w:pPr>
        <w:pStyle w:val="ListParagraph"/>
        <w:numPr>
          <w:ilvl w:val="0"/>
          <w:numId w:val="1"/>
        </w:numPr>
        <w:ind w:left="426"/>
        <w:rPr>
          <w:bCs/>
        </w:rPr>
      </w:pPr>
      <w:r w:rsidRPr="002B362F">
        <w:rPr>
          <w:bCs/>
        </w:rPr>
        <w:lastRenderedPageBreak/>
        <w:t xml:space="preserve">Every </w:t>
      </w:r>
      <w:r w:rsidR="006D3C51">
        <w:rPr>
          <w:bCs/>
        </w:rPr>
        <w:t xml:space="preserve">risk with a residual score of </w:t>
      </w:r>
      <w:r w:rsidRPr="002B362F">
        <w:rPr>
          <w:bCs/>
          <w:shd w:val="clear" w:color="auto" w:fill="C00000"/>
        </w:rPr>
        <w:t>VERY HIGH</w:t>
      </w:r>
      <w:r w:rsidRPr="002B362F">
        <w:rPr>
          <w:bCs/>
        </w:rPr>
        <w:t xml:space="preserve"> </w:t>
      </w:r>
      <w:r w:rsidR="006D3C51">
        <w:rPr>
          <w:bCs/>
        </w:rPr>
        <w:t xml:space="preserve">&gt;15 </w:t>
      </w:r>
      <w:r w:rsidRPr="002B362F">
        <w:rPr>
          <w:bCs/>
        </w:rPr>
        <w:t xml:space="preserve">or </w:t>
      </w:r>
      <w:r w:rsidRPr="002B362F">
        <w:rPr>
          <w:bCs/>
          <w:shd w:val="clear" w:color="auto" w:fill="FFC000"/>
        </w:rPr>
        <w:t>HIGH</w:t>
      </w:r>
      <w:r w:rsidRPr="002B362F">
        <w:rPr>
          <w:bCs/>
        </w:rPr>
        <w:t xml:space="preserve"> </w:t>
      </w:r>
      <w:r w:rsidR="006D3C51">
        <w:rPr>
          <w:bCs/>
        </w:rPr>
        <w:t xml:space="preserve">&gt;10 </w:t>
      </w:r>
      <w:r w:rsidRPr="002B362F">
        <w:rPr>
          <w:bCs/>
        </w:rPr>
        <w:t xml:space="preserve">should be reviewed </w:t>
      </w:r>
      <w:r w:rsidR="00181F49">
        <w:rPr>
          <w:bCs/>
        </w:rPr>
        <w:t xml:space="preserve">monthly </w:t>
      </w:r>
      <w:r w:rsidRPr="002B362F">
        <w:rPr>
          <w:bCs/>
        </w:rPr>
        <w:t>as part of a standing agenda</w:t>
      </w:r>
      <w:r w:rsidR="00B10833" w:rsidRPr="002B362F">
        <w:rPr>
          <w:bCs/>
        </w:rPr>
        <w:t>.</w:t>
      </w:r>
    </w:p>
    <w:p w14:paraId="73A0579B" w14:textId="77777777" w:rsidR="00B10833" w:rsidRPr="002B362F" w:rsidRDefault="002B362F" w:rsidP="002B362F">
      <w:pPr>
        <w:pStyle w:val="ListParagraph"/>
        <w:numPr>
          <w:ilvl w:val="0"/>
          <w:numId w:val="1"/>
        </w:numPr>
        <w:ind w:left="426"/>
        <w:rPr>
          <w:bCs/>
        </w:rPr>
      </w:pPr>
      <w:r w:rsidRPr="002B362F">
        <w:rPr>
          <w:bCs/>
        </w:rPr>
        <w:t xml:space="preserve">Unscheduled reviews should be undertaken if there has been a change or an event that may affect the risk. </w:t>
      </w:r>
      <w:r w:rsidR="00B10833" w:rsidRPr="002B362F">
        <w:rPr>
          <w:bCs/>
        </w:rPr>
        <w:t xml:space="preserve"> </w:t>
      </w:r>
    </w:p>
    <w:p w14:paraId="694DCEC4" w14:textId="77777777" w:rsidR="007F4D5D" w:rsidRPr="007F4D5D" w:rsidRDefault="007F4D5D" w:rsidP="007F4D5D">
      <w:pPr>
        <w:pStyle w:val="ListParagraph"/>
        <w:ind w:left="426"/>
      </w:pPr>
    </w:p>
    <w:p w14:paraId="69021FF9" w14:textId="77777777" w:rsidR="00313008" w:rsidRPr="007F4D5D" w:rsidRDefault="00F65BD8" w:rsidP="00F54C25">
      <w:pPr>
        <w:pStyle w:val="ListParagraph"/>
        <w:numPr>
          <w:ilvl w:val="0"/>
          <w:numId w:val="1"/>
        </w:numPr>
        <w:ind w:left="426"/>
      </w:pPr>
      <w:r w:rsidRPr="007F4D5D">
        <w:rPr>
          <w:bCs/>
        </w:rPr>
        <w:t>What to review…</w:t>
      </w:r>
    </w:p>
    <w:p w14:paraId="11918D72" w14:textId="77777777" w:rsidR="007F4D5D" w:rsidRDefault="007F4D5D" w:rsidP="007F4D5D">
      <w:pPr>
        <w:pStyle w:val="ListParagraph"/>
        <w:ind w:left="426"/>
      </w:pPr>
    </w:p>
    <w:p w14:paraId="17EBF6CE" w14:textId="77777777" w:rsidR="0046329B" w:rsidRDefault="00587C23" w:rsidP="007F4D5D">
      <w:pPr>
        <w:pStyle w:val="ListParagraph"/>
        <w:numPr>
          <w:ilvl w:val="1"/>
          <w:numId w:val="1"/>
        </w:numPr>
        <w:ind w:left="426"/>
      </w:pPr>
      <w:r>
        <w:rPr>
          <w:b/>
          <w:u w:val="single"/>
        </w:rPr>
        <w:t>What Can Go Wrong</w:t>
      </w:r>
      <w:r w:rsidR="0046329B">
        <w:t xml:space="preserve"> </w:t>
      </w:r>
      <w:r w:rsidR="006D3C51">
        <w:t xml:space="preserve">this is </w:t>
      </w:r>
      <w:r w:rsidR="00247CC1">
        <w:t xml:space="preserve">best </w:t>
      </w:r>
      <w:r w:rsidR="0046329B">
        <w:t xml:space="preserve">written as </w:t>
      </w:r>
      <w:r w:rsidR="0046329B" w:rsidRPr="00313008">
        <w:rPr>
          <w:b/>
          <w:u w:val="single"/>
        </w:rPr>
        <w:t>IF</w:t>
      </w:r>
      <w:r w:rsidR="0046329B">
        <w:t xml:space="preserve"> and </w:t>
      </w:r>
      <w:r w:rsidR="0046329B" w:rsidRPr="00313008">
        <w:rPr>
          <w:b/>
          <w:u w:val="single"/>
        </w:rPr>
        <w:t>THEN</w:t>
      </w:r>
      <w:r w:rsidR="0046329B">
        <w:t xml:space="preserve"> statement</w:t>
      </w:r>
      <w:r w:rsidR="00247CC1">
        <w:t>s</w:t>
      </w:r>
      <w:r w:rsidR="0046329B">
        <w:t xml:space="preserve">, </w:t>
      </w:r>
      <w:r w:rsidR="00313008">
        <w:t xml:space="preserve">existing risks will need to be converted into this format, </w:t>
      </w:r>
      <w:r w:rsidR="0046329B">
        <w:t>example below</w:t>
      </w:r>
      <w:r w:rsidR="00D155C8">
        <w:t xml:space="preserve">. </w:t>
      </w:r>
      <w:r w:rsidR="00D155C8" w:rsidRPr="00D155C8">
        <w:rPr>
          <w:b/>
        </w:rPr>
        <w:t>Ensure that the THEN statement includes a description of the worst realistic outcome, in the case below it is that</w:t>
      </w:r>
      <w:r w:rsidR="00EB2314">
        <w:rPr>
          <w:b/>
        </w:rPr>
        <w:t xml:space="preserve"> </w:t>
      </w:r>
      <w:proofErr w:type="spellStart"/>
      <w:r w:rsidR="00EB2314">
        <w:rPr>
          <w:b/>
        </w:rPr>
        <w:t>UoO</w:t>
      </w:r>
      <w:proofErr w:type="spellEnd"/>
      <w:r w:rsidR="00EB2314">
        <w:rPr>
          <w:b/>
        </w:rPr>
        <w:t xml:space="preserve"> could lose revenue due to lower new applicants or retained students.</w:t>
      </w:r>
    </w:p>
    <w:p w14:paraId="5267ECA4" w14:textId="77777777" w:rsidR="0046329B" w:rsidRPr="00D155C8" w:rsidRDefault="0046329B" w:rsidP="0046329B">
      <w:pPr>
        <w:spacing w:after="0" w:line="240" w:lineRule="auto"/>
        <w:ind w:left="360"/>
        <w:rPr>
          <w:i/>
        </w:rPr>
      </w:pPr>
      <w:r w:rsidRPr="00D155C8">
        <w:rPr>
          <w:b/>
          <w:i/>
        </w:rPr>
        <w:t>IF</w:t>
      </w:r>
      <w:r w:rsidRPr="00D155C8">
        <w:rPr>
          <w:i/>
        </w:rPr>
        <w:t xml:space="preserve"> </w:t>
      </w:r>
      <w:r w:rsidR="00247CC1">
        <w:rPr>
          <w:i/>
        </w:rPr>
        <w:t>–</w:t>
      </w:r>
      <w:r w:rsidRPr="00D155C8">
        <w:rPr>
          <w:i/>
        </w:rPr>
        <w:t xml:space="preserve"> </w:t>
      </w:r>
      <w:proofErr w:type="spellStart"/>
      <w:r w:rsidR="00247CC1">
        <w:rPr>
          <w:i/>
        </w:rPr>
        <w:t>UoO</w:t>
      </w:r>
      <w:proofErr w:type="spellEnd"/>
      <w:r w:rsidR="00247CC1">
        <w:rPr>
          <w:i/>
        </w:rPr>
        <w:t xml:space="preserve"> </w:t>
      </w:r>
      <w:r w:rsidR="00EB2314">
        <w:rPr>
          <w:i/>
        </w:rPr>
        <w:t xml:space="preserve">fails to keep pace with its competitors </w:t>
      </w:r>
      <w:r w:rsidR="00F37C05">
        <w:rPr>
          <w:i/>
        </w:rPr>
        <w:t xml:space="preserve">in the areas of </w:t>
      </w:r>
      <w:r w:rsidR="00EB2314">
        <w:rPr>
          <w:i/>
        </w:rPr>
        <w:t xml:space="preserve">digital learning platforms required by students… </w:t>
      </w:r>
      <w:r w:rsidRPr="00D155C8">
        <w:rPr>
          <w:i/>
        </w:rPr>
        <w:t> </w:t>
      </w:r>
    </w:p>
    <w:p w14:paraId="77EE2511" w14:textId="77777777" w:rsidR="0046329B" w:rsidRPr="00D155C8" w:rsidRDefault="0046329B" w:rsidP="0046329B">
      <w:pPr>
        <w:shd w:val="clear" w:color="auto" w:fill="FFFFFF"/>
        <w:spacing w:after="0" w:line="240" w:lineRule="auto"/>
        <w:ind w:left="360"/>
        <w:rPr>
          <w:i/>
        </w:rPr>
      </w:pPr>
      <w:r w:rsidRPr="00D155C8">
        <w:rPr>
          <w:b/>
          <w:i/>
        </w:rPr>
        <w:t>THEN</w:t>
      </w:r>
      <w:r w:rsidRPr="00D155C8">
        <w:rPr>
          <w:i/>
        </w:rPr>
        <w:t xml:space="preserve"> </w:t>
      </w:r>
      <w:r w:rsidR="00EB2314">
        <w:rPr>
          <w:i/>
        </w:rPr>
        <w:t>–</w:t>
      </w:r>
      <w:r w:rsidRPr="00D155C8">
        <w:rPr>
          <w:i/>
        </w:rPr>
        <w:t xml:space="preserve"> </w:t>
      </w:r>
      <w:r w:rsidR="00EB2314">
        <w:rPr>
          <w:i/>
        </w:rPr>
        <w:t>Students may select other places to study</w:t>
      </w:r>
      <w:r w:rsidR="00F37C05">
        <w:rPr>
          <w:i/>
        </w:rPr>
        <w:t>,</w:t>
      </w:r>
      <w:r w:rsidR="00EB2314">
        <w:rPr>
          <w:i/>
        </w:rPr>
        <w:t xml:space="preserve"> reducing funding for </w:t>
      </w:r>
      <w:proofErr w:type="spellStart"/>
      <w:r w:rsidR="00EB2314">
        <w:rPr>
          <w:i/>
        </w:rPr>
        <w:t>UoO</w:t>
      </w:r>
      <w:proofErr w:type="spellEnd"/>
      <w:r w:rsidR="00EB2314">
        <w:rPr>
          <w:i/>
        </w:rPr>
        <w:t xml:space="preserve"> and potential failure to meet TEC KPI’s</w:t>
      </w:r>
      <w:r w:rsidRPr="00D155C8">
        <w:rPr>
          <w:i/>
        </w:rPr>
        <w:t>.</w:t>
      </w:r>
    </w:p>
    <w:p w14:paraId="0611070C" w14:textId="77777777" w:rsidR="0046329B" w:rsidRPr="00D155C8" w:rsidRDefault="0046329B" w:rsidP="0046329B">
      <w:pPr>
        <w:shd w:val="clear" w:color="auto" w:fill="FFFFFF"/>
        <w:spacing w:after="0" w:line="240" w:lineRule="auto"/>
        <w:ind w:left="360"/>
        <w:rPr>
          <w:i/>
        </w:rPr>
      </w:pPr>
    </w:p>
    <w:p w14:paraId="5648133A" w14:textId="77777777" w:rsidR="0007507E" w:rsidRDefault="0007507E" w:rsidP="0007507E">
      <w:pPr>
        <w:shd w:val="clear" w:color="auto" w:fill="FFFFFF"/>
        <w:spacing w:after="0" w:line="240" w:lineRule="auto"/>
        <w:ind w:left="360"/>
        <w:rPr>
          <w:i/>
        </w:rPr>
      </w:pPr>
      <w:r>
        <w:rPr>
          <w:i/>
        </w:rPr>
        <w:t xml:space="preserve">E.g. Students involved in technology research have requested </w:t>
      </w:r>
      <w:proofErr w:type="spellStart"/>
      <w:r>
        <w:rPr>
          <w:i/>
        </w:rPr>
        <w:t>UoO</w:t>
      </w:r>
      <w:proofErr w:type="spellEnd"/>
      <w:r>
        <w:rPr>
          <w:i/>
        </w:rPr>
        <w:t xml:space="preserve"> invest in a wider range of VR or augmented interfaces. The divisions that have shown a desire to facilitate this are ????? the expected costs is $$$$$.</w:t>
      </w:r>
    </w:p>
    <w:p w14:paraId="261676EE" w14:textId="77777777" w:rsidR="0007507E" w:rsidRDefault="0007507E" w:rsidP="0007507E">
      <w:pPr>
        <w:shd w:val="clear" w:color="auto" w:fill="FFFFFF"/>
        <w:spacing w:after="0" w:line="240" w:lineRule="auto"/>
        <w:ind w:left="360"/>
        <w:rPr>
          <w:i/>
        </w:rPr>
      </w:pPr>
    </w:p>
    <w:p w14:paraId="46DD60A7" w14:textId="77777777" w:rsidR="0007507E" w:rsidRDefault="0007507E" w:rsidP="0007507E">
      <w:pPr>
        <w:shd w:val="clear" w:color="auto" w:fill="FFFFFF"/>
        <w:spacing w:after="0" w:line="240" w:lineRule="auto"/>
        <w:ind w:left="360"/>
        <w:rPr>
          <w:i/>
        </w:rPr>
      </w:pPr>
      <w:proofErr w:type="spellStart"/>
      <w:r>
        <w:rPr>
          <w:i/>
        </w:rPr>
        <w:t>UoO</w:t>
      </w:r>
      <w:proofErr w:type="spellEnd"/>
      <w:r>
        <w:rPr>
          <w:i/>
        </w:rPr>
        <w:t xml:space="preserve"> currently has an insufficient number trained staff to facilitate an expansion of VR and augmented learning platforms.</w:t>
      </w:r>
    </w:p>
    <w:p w14:paraId="35D1B87E" w14:textId="77777777" w:rsidR="0007507E" w:rsidRDefault="0007507E" w:rsidP="0007507E">
      <w:pPr>
        <w:shd w:val="clear" w:color="auto" w:fill="FFFFFF"/>
        <w:spacing w:after="0" w:line="240" w:lineRule="auto"/>
        <w:ind w:left="360"/>
        <w:rPr>
          <w:i/>
        </w:rPr>
      </w:pPr>
    </w:p>
    <w:p w14:paraId="499F7ABC" w14:textId="77777777" w:rsidR="0046329B" w:rsidRPr="00D155C8" w:rsidRDefault="0007507E" w:rsidP="0007507E">
      <w:pPr>
        <w:shd w:val="clear" w:color="auto" w:fill="FFFFFF"/>
        <w:spacing w:after="0" w:line="240" w:lineRule="auto"/>
        <w:ind w:left="360"/>
        <w:rPr>
          <w:i/>
        </w:rPr>
      </w:pPr>
      <w:r>
        <w:rPr>
          <w:i/>
        </w:rPr>
        <w:t xml:space="preserve">Other NZ universities e.g. XXX and YYYY are known to be expanding student access to this technology.  </w:t>
      </w:r>
    </w:p>
    <w:p w14:paraId="06346AA6" w14:textId="77777777" w:rsidR="007F4D5D" w:rsidRDefault="007F4D5D" w:rsidP="0046329B">
      <w:pPr>
        <w:ind w:left="1080"/>
      </w:pPr>
    </w:p>
    <w:p w14:paraId="23EC0872" w14:textId="77777777" w:rsidR="00272EDA" w:rsidRDefault="007F4D5D" w:rsidP="007F4D5D">
      <w:pPr>
        <w:pStyle w:val="ListParagraph"/>
        <w:numPr>
          <w:ilvl w:val="1"/>
          <w:numId w:val="1"/>
        </w:numPr>
        <w:ind w:left="567"/>
        <w:rPr>
          <w:bCs/>
        </w:rPr>
      </w:pPr>
      <w:r>
        <w:rPr>
          <w:bCs/>
        </w:rPr>
        <w:t xml:space="preserve">The </w:t>
      </w:r>
      <w:r w:rsidRPr="007D4305">
        <w:rPr>
          <w:b/>
        </w:rPr>
        <w:t>‘Impact’ score</w:t>
      </w:r>
      <w:r>
        <w:rPr>
          <w:bCs/>
        </w:rPr>
        <w:t xml:space="preserve">, </w:t>
      </w:r>
      <w:r w:rsidR="00272EDA">
        <w:rPr>
          <w:bCs/>
        </w:rPr>
        <w:t>if</w:t>
      </w:r>
      <w:r>
        <w:rPr>
          <w:bCs/>
        </w:rPr>
        <w:t xml:space="preserve"> this risk were to eventuate, what </w:t>
      </w:r>
      <w:r w:rsidR="00272EDA">
        <w:rPr>
          <w:bCs/>
        </w:rPr>
        <w:t xml:space="preserve">is the </w:t>
      </w:r>
      <w:r>
        <w:rPr>
          <w:bCs/>
        </w:rPr>
        <w:t>‘</w:t>
      </w:r>
      <w:r w:rsidR="00272EDA" w:rsidRPr="00272EDA">
        <w:rPr>
          <w:b/>
        </w:rPr>
        <w:t>worst</w:t>
      </w:r>
      <w:r w:rsidR="00272EDA">
        <w:rPr>
          <w:bCs/>
        </w:rPr>
        <w:t xml:space="preserve"> </w:t>
      </w:r>
      <w:r w:rsidRPr="007F4D5D">
        <w:rPr>
          <w:b/>
          <w:u w:val="single"/>
        </w:rPr>
        <w:t>realistic</w:t>
      </w:r>
      <w:r>
        <w:rPr>
          <w:bCs/>
        </w:rPr>
        <w:t xml:space="preserve">’ harm </w:t>
      </w:r>
      <w:r w:rsidR="00272EDA">
        <w:rPr>
          <w:bCs/>
        </w:rPr>
        <w:t xml:space="preserve">it </w:t>
      </w:r>
      <w:r>
        <w:rPr>
          <w:bCs/>
        </w:rPr>
        <w:t xml:space="preserve">could do to the University? </w:t>
      </w:r>
      <w:r w:rsidR="00272EDA">
        <w:rPr>
          <w:bCs/>
        </w:rPr>
        <w:t>The impact can change if there have been wider changes in other areas of the University’s needs or external influences, but these changes are infrequent. Use the on screen guidance to review the options.</w:t>
      </w:r>
    </w:p>
    <w:p w14:paraId="310CC259" w14:textId="77777777" w:rsidR="00272EDA" w:rsidRDefault="00272EDA" w:rsidP="00272EDA">
      <w:pPr>
        <w:pStyle w:val="ListParagraph"/>
        <w:ind w:left="567"/>
        <w:rPr>
          <w:bCs/>
        </w:rPr>
      </w:pPr>
      <w:r>
        <w:rPr>
          <w:noProof/>
        </w:rPr>
        <w:drawing>
          <wp:anchor distT="0" distB="0" distL="114300" distR="114300" simplePos="0" relativeHeight="251662336" behindDoc="0" locked="0" layoutInCell="1" allowOverlap="1" wp14:anchorId="0430FDA5" wp14:editId="6F97E6FA">
            <wp:simplePos x="0" y="0"/>
            <wp:positionH relativeFrom="column">
              <wp:posOffset>381000</wp:posOffset>
            </wp:positionH>
            <wp:positionV relativeFrom="paragraph">
              <wp:posOffset>13970</wp:posOffset>
            </wp:positionV>
            <wp:extent cx="833248" cy="257175"/>
            <wp:effectExtent l="0" t="0" r="5080" b="0"/>
            <wp:wrapNone/>
            <wp:docPr id="847380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80994" name=""/>
                    <pic:cNvPicPr/>
                  </pic:nvPicPr>
                  <pic:blipFill>
                    <a:blip r:embed="rId8">
                      <a:extLst>
                        <a:ext uri="{28A0092B-C50C-407E-A947-70E740481C1C}">
                          <a14:useLocalDpi xmlns:a14="http://schemas.microsoft.com/office/drawing/2010/main" val="0"/>
                        </a:ext>
                      </a:extLst>
                    </a:blip>
                    <a:stretch>
                      <a:fillRect/>
                    </a:stretch>
                  </pic:blipFill>
                  <pic:spPr>
                    <a:xfrm>
                      <a:off x="0" y="0"/>
                      <a:ext cx="834141" cy="257451"/>
                    </a:xfrm>
                    <a:prstGeom prst="rect">
                      <a:avLst/>
                    </a:prstGeom>
                  </pic:spPr>
                </pic:pic>
              </a:graphicData>
            </a:graphic>
            <wp14:sizeRelH relativeFrom="margin">
              <wp14:pctWidth>0</wp14:pctWidth>
            </wp14:sizeRelH>
            <wp14:sizeRelV relativeFrom="margin">
              <wp14:pctHeight>0</wp14:pctHeight>
            </wp14:sizeRelV>
          </wp:anchor>
        </w:drawing>
      </w:r>
    </w:p>
    <w:p w14:paraId="5188AE5E" w14:textId="77777777" w:rsidR="00272EDA" w:rsidRDefault="00272EDA" w:rsidP="00272EDA">
      <w:pPr>
        <w:pStyle w:val="ListParagraph"/>
        <w:ind w:left="567"/>
        <w:rPr>
          <w:bCs/>
        </w:rPr>
      </w:pPr>
    </w:p>
    <w:p w14:paraId="0396246B" w14:textId="22743759" w:rsidR="00272EDA" w:rsidRDefault="00272EDA" w:rsidP="00272EDA">
      <w:pPr>
        <w:pStyle w:val="ListParagraph"/>
        <w:numPr>
          <w:ilvl w:val="1"/>
          <w:numId w:val="1"/>
        </w:numPr>
        <w:ind w:left="567"/>
        <w:rPr>
          <w:bCs/>
        </w:rPr>
      </w:pPr>
      <w:r w:rsidRPr="007D4305">
        <w:rPr>
          <w:b/>
        </w:rPr>
        <w:t>Likelihood</w:t>
      </w:r>
      <w:r>
        <w:rPr>
          <w:bCs/>
        </w:rPr>
        <w:t xml:space="preserve">…this is usually the area of greatest change…internal and external factors make this score reasonably dynamic…e.g. have we introduced changes that will help to address the risk or have external changes increased our exposure to this risk? </w:t>
      </w:r>
      <w:r w:rsidRPr="00272EDA">
        <w:rPr>
          <w:b/>
        </w:rPr>
        <w:t>REMEMBER</w:t>
      </w:r>
      <w:r>
        <w:rPr>
          <w:bCs/>
        </w:rPr>
        <w:t>…we are assessing the likelihood of the worst realistic outcome not anything lesser</w:t>
      </w:r>
      <w:r w:rsidR="007D4305">
        <w:rPr>
          <w:bCs/>
        </w:rPr>
        <w:t>…be consistent</w:t>
      </w:r>
      <w:r w:rsidR="00444E37">
        <w:rPr>
          <w:bCs/>
        </w:rPr>
        <w:t xml:space="preserve"> across impact and likelihood</w:t>
      </w:r>
      <w:r>
        <w:rPr>
          <w:bCs/>
        </w:rPr>
        <w:t>!</w:t>
      </w:r>
    </w:p>
    <w:p w14:paraId="31FFCF4D" w14:textId="77777777" w:rsidR="00272EDA" w:rsidRPr="00F37C05" w:rsidRDefault="00F37C05" w:rsidP="00272EDA">
      <w:pPr>
        <w:ind w:left="207"/>
        <w:rPr>
          <w:b/>
          <w:bCs/>
        </w:rPr>
      </w:pPr>
      <w:r w:rsidRPr="00F37C05">
        <w:rPr>
          <w:b/>
          <w:bCs/>
        </w:rPr>
        <w:t xml:space="preserve">Add </w:t>
      </w:r>
      <w:r w:rsidR="00272EDA" w:rsidRPr="00F37C05">
        <w:rPr>
          <w:b/>
          <w:bCs/>
        </w:rPr>
        <w:t>text f</w:t>
      </w:r>
      <w:r w:rsidRPr="00F37C05">
        <w:rPr>
          <w:b/>
          <w:bCs/>
        </w:rPr>
        <w:t xml:space="preserve">or </w:t>
      </w:r>
      <w:r w:rsidR="00272EDA" w:rsidRPr="00F37C05">
        <w:rPr>
          <w:b/>
          <w:bCs/>
        </w:rPr>
        <w:t xml:space="preserve">the ‘Impact’ and ‘Likelihood’ sections </w:t>
      </w:r>
      <w:r w:rsidRPr="00F37C05">
        <w:rPr>
          <w:b/>
          <w:bCs/>
        </w:rPr>
        <w:t>to justify the score you have chosen.</w:t>
      </w:r>
      <w:r w:rsidR="00272EDA" w:rsidRPr="00F37C05">
        <w:rPr>
          <w:b/>
          <w:bCs/>
        </w:rPr>
        <w:t xml:space="preserve"> </w:t>
      </w:r>
    </w:p>
    <w:p w14:paraId="1C0E0D49" w14:textId="77777777" w:rsidR="00E42CB4" w:rsidRDefault="00E42CB4" w:rsidP="00E42CB4">
      <w:pPr>
        <w:pStyle w:val="ListParagraph"/>
        <w:ind w:left="1440"/>
      </w:pPr>
    </w:p>
    <w:p w14:paraId="6220727F" w14:textId="77777777" w:rsidR="00E42CB4" w:rsidRDefault="00E42CB4" w:rsidP="00E42CB4">
      <w:pPr>
        <w:pStyle w:val="ListParagraph"/>
        <w:numPr>
          <w:ilvl w:val="1"/>
          <w:numId w:val="1"/>
        </w:numPr>
        <w:ind w:left="567"/>
      </w:pPr>
      <w:r w:rsidRPr="007D4305">
        <w:rPr>
          <w:b/>
          <w:bCs/>
        </w:rPr>
        <w:t>Assurance</w:t>
      </w:r>
      <w:r>
        <w:t xml:space="preserve">, this is where we tell the story of any controls we have in place, use the free text to advise if we are moving in the right direction. </w:t>
      </w:r>
      <w:r w:rsidRPr="00E42CB4">
        <w:rPr>
          <w:b/>
          <w:bCs/>
        </w:rPr>
        <w:t>REMEMBER</w:t>
      </w:r>
      <w:r>
        <w:t xml:space="preserve"> only controls that have been implemented can be used to reduce the overall risk score…whilst it is important to record any planned future changes e.g. project groups …budget requests etc </w:t>
      </w:r>
      <w:proofErr w:type="spellStart"/>
      <w:r>
        <w:t>etc</w:t>
      </w:r>
      <w:proofErr w:type="spellEnd"/>
      <w:r>
        <w:t xml:space="preserve">, they can’t reduce the residual risk score unless they have made a practical impact already. </w:t>
      </w:r>
    </w:p>
    <w:p w14:paraId="11D56F32" w14:textId="77777777" w:rsidR="00084A20" w:rsidRDefault="00084A20" w:rsidP="00084A20">
      <w:pPr>
        <w:ind w:left="284"/>
      </w:pPr>
      <w:r w:rsidRPr="00084A20">
        <w:rPr>
          <w:bCs/>
        </w:rPr>
        <w:t xml:space="preserve">Every risk </w:t>
      </w:r>
      <w:r w:rsidRPr="00084A20">
        <w:rPr>
          <w:b/>
        </w:rPr>
        <w:t>MUST</w:t>
      </w:r>
      <w:r>
        <w:t xml:space="preserve"> have at least one control described in the assurance section…sometimes a control sounds negative e.g. reducing the number of papers available for student selection but it’s a control and should be listed…it demonstrates what we are having to do currently to manage the risk and the impact it is having today.</w:t>
      </w:r>
    </w:p>
    <w:p w14:paraId="44178AB6" w14:textId="77777777" w:rsidR="00313008" w:rsidRDefault="00313008" w:rsidP="00084A20">
      <w:pPr>
        <w:pStyle w:val="ListParagraph"/>
        <w:numPr>
          <w:ilvl w:val="1"/>
          <w:numId w:val="5"/>
        </w:numPr>
        <w:ind w:left="567"/>
      </w:pPr>
      <w:r>
        <w:t>Review the controls that are listed…are they:</w:t>
      </w:r>
    </w:p>
    <w:p w14:paraId="56312EC6" w14:textId="77777777" w:rsidR="00313008" w:rsidRDefault="00313008" w:rsidP="00213C89">
      <w:pPr>
        <w:pStyle w:val="ListParagraph"/>
        <w:numPr>
          <w:ilvl w:val="0"/>
          <w:numId w:val="5"/>
        </w:numPr>
        <w:ind w:left="567"/>
      </w:pPr>
      <w:r>
        <w:t>Actively being used?</w:t>
      </w:r>
      <w:r w:rsidR="00E42CB4">
        <w:t xml:space="preserve"> </w:t>
      </w:r>
      <w:r w:rsidR="00E42CB4" w:rsidRPr="00E42CB4">
        <w:rPr>
          <w:b/>
          <w:bCs/>
        </w:rPr>
        <w:t>How do we know?</w:t>
      </w:r>
    </w:p>
    <w:p w14:paraId="37DC46C9" w14:textId="77777777" w:rsidR="00313008" w:rsidRDefault="00313008" w:rsidP="00213C89">
      <w:pPr>
        <w:pStyle w:val="ListParagraph"/>
        <w:numPr>
          <w:ilvl w:val="0"/>
          <w:numId w:val="5"/>
        </w:numPr>
        <w:ind w:left="567"/>
      </w:pPr>
      <w:r>
        <w:t>What effect are they having?</w:t>
      </w:r>
      <w:r w:rsidR="00E42CB4">
        <w:t xml:space="preserve"> </w:t>
      </w:r>
      <w:r w:rsidR="00E42CB4" w:rsidRPr="00E42CB4">
        <w:rPr>
          <w:b/>
          <w:bCs/>
        </w:rPr>
        <w:t>How do we know?</w:t>
      </w:r>
    </w:p>
    <w:p w14:paraId="1894533B" w14:textId="77777777" w:rsidR="00313008" w:rsidRDefault="00313008" w:rsidP="00213C89">
      <w:pPr>
        <w:pStyle w:val="ListParagraph"/>
        <w:numPr>
          <w:ilvl w:val="0"/>
          <w:numId w:val="5"/>
        </w:numPr>
        <w:ind w:left="567"/>
      </w:pPr>
      <w:r>
        <w:t>Are they sustainable…can we rely on them for the long term?</w:t>
      </w:r>
    </w:p>
    <w:p w14:paraId="0D49B97B" w14:textId="77777777" w:rsidR="00313008" w:rsidRDefault="00313008" w:rsidP="00987731">
      <w:pPr>
        <w:ind w:left="284"/>
      </w:pPr>
      <w:r>
        <w:t>If the answers above are positive, then the control is ‘adequate’</w:t>
      </w:r>
      <w:r w:rsidR="00E42CB4">
        <w:t xml:space="preserve"> and may be used to reduce the assurance score, which will effectively reduce the overall residual risk score</w:t>
      </w:r>
      <w:r>
        <w:t>. If the answers are negative then the control is ‘inadequate’ i.e. they are the all we can do for now, but we want to do more.</w:t>
      </w:r>
    </w:p>
    <w:p w14:paraId="58A68724" w14:textId="77777777" w:rsidR="00DE2BCB" w:rsidRDefault="00DE2BCB" w:rsidP="00DE2BCB">
      <w:pPr>
        <w:pStyle w:val="ListParagraph"/>
      </w:pPr>
    </w:p>
    <w:p w14:paraId="079B4830" w14:textId="77777777" w:rsidR="00DE2BCB" w:rsidRDefault="00DE2BCB" w:rsidP="00606E5C">
      <w:pPr>
        <w:ind w:left="284"/>
      </w:pPr>
      <w:r>
        <w:lastRenderedPageBreak/>
        <w:t xml:space="preserve">LM calculates ‘residual risk’ = Impact x likelihood = inherent risk x Assurance (which is a decimal fraction). Assurance scores values are as follows </w:t>
      </w:r>
    </w:p>
    <w:p w14:paraId="6B2D1501" w14:textId="77777777" w:rsidR="00DE2BCB" w:rsidRDefault="00DE2BCB" w:rsidP="00606E5C">
      <w:pPr>
        <w:pStyle w:val="ListParagraph"/>
        <w:ind w:left="284"/>
      </w:pPr>
      <w:r w:rsidRPr="008A459A">
        <w:rPr>
          <w:b/>
          <w:bCs/>
          <w:color w:val="00B050"/>
        </w:rPr>
        <w:t>1</w:t>
      </w:r>
      <w:r>
        <w:t xml:space="preserve"> = 0.2…</w:t>
      </w:r>
      <w:r w:rsidRPr="008A459A">
        <w:rPr>
          <w:b/>
          <w:bCs/>
          <w:color w:val="00B050"/>
        </w:rPr>
        <w:t>2</w:t>
      </w:r>
      <w:r>
        <w:t>= 0.4…</w:t>
      </w:r>
      <w:r w:rsidRPr="008A459A">
        <w:rPr>
          <w:b/>
          <w:bCs/>
          <w:color w:val="00B050"/>
        </w:rPr>
        <w:t>3</w:t>
      </w:r>
      <w:r>
        <w:t xml:space="preserve"> = 0.6…</w:t>
      </w:r>
      <w:r w:rsidRPr="008A459A">
        <w:rPr>
          <w:b/>
          <w:bCs/>
          <w:color w:val="00B050"/>
        </w:rPr>
        <w:t>4</w:t>
      </w:r>
      <w:r>
        <w:t xml:space="preserve"> = 0.8…</w:t>
      </w:r>
      <w:r w:rsidRPr="008A459A">
        <w:rPr>
          <w:b/>
          <w:bCs/>
          <w:color w:val="00B050"/>
        </w:rPr>
        <w:t xml:space="preserve">5 </w:t>
      </w:r>
      <w:r>
        <w:t>= 1.0</w:t>
      </w:r>
    </w:p>
    <w:p w14:paraId="3B8BB0B7" w14:textId="77777777" w:rsidR="00DE2BCB" w:rsidRDefault="00DE2BCB" w:rsidP="00606E5C">
      <w:pPr>
        <w:pStyle w:val="ListParagraph"/>
        <w:ind w:left="284"/>
      </w:pPr>
      <w:r>
        <w:t>Example:</w:t>
      </w:r>
    </w:p>
    <w:p w14:paraId="79071EF0" w14:textId="77777777" w:rsidR="00DE2BCB" w:rsidRDefault="00DE2BCB" w:rsidP="00606E5C">
      <w:pPr>
        <w:pStyle w:val="ListParagraph"/>
        <w:ind w:left="284"/>
      </w:pPr>
      <w:r>
        <w:t>5 x 5 = 25 x   assurance score of 3 (0.6) = Residual risk score of 15.</w:t>
      </w:r>
    </w:p>
    <w:p w14:paraId="6AA112CC" w14:textId="77777777" w:rsidR="00DE2BCB" w:rsidRDefault="00DE2BCB" w:rsidP="00DE2BCB">
      <w:pPr>
        <w:pStyle w:val="ListParagraph"/>
        <w:ind w:left="567"/>
        <w:rPr>
          <w:b/>
          <w:u w:val="single"/>
        </w:rPr>
      </w:pPr>
    </w:p>
    <w:p w14:paraId="605D5C41" w14:textId="65362E74" w:rsidR="00F37C05" w:rsidRPr="00F37C05" w:rsidRDefault="00F37C05" w:rsidP="00F37C05">
      <w:pPr>
        <w:pStyle w:val="ListParagraph"/>
        <w:numPr>
          <w:ilvl w:val="1"/>
          <w:numId w:val="1"/>
        </w:numPr>
        <w:ind w:left="567"/>
        <w:rPr>
          <w:b/>
          <w:u w:val="single"/>
        </w:rPr>
      </w:pPr>
      <w:r w:rsidRPr="00F37C05">
        <w:rPr>
          <w:b/>
          <w:u w:val="single"/>
        </w:rPr>
        <w:t>‘What is your response to the risk?’</w:t>
      </w:r>
    </w:p>
    <w:p w14:paraId="78A908C5" w14:textId="77777777" w:rsidR="00F37C05" w:rsidRDefault="00F37C05" w:rsidP="00987731">
      <w:pPr>
        <w:ind w:left="284"/>
        <w:rPr>
          <w:bCs/>
        </w:rPr>
      </w:pPr>
      <w:r w:rsidRPr="00F37C05">
        <w:rPr>
          <w:bCs/>
        </w:rPr>
        <w:t>If you believe that more can be done to lower the risk</w:t>
      </w:r>
      <w:r>
        <w:rPr>
          <w:bCs/>
        </w:rPr>
        <w:t>, select Mitigate.</w:t>
      </w:r>
    </w:p>
    <w:p w14:paraId="07C261A2" w14:textId="77777777" w:rsidR="00F37C05" w:rsidRPr="00F37C05" w:rsidRDefault="00F37C05" w:rsidP="00F37C05">
      <w:pPr>
        <w:pStyle w:val="ListParagraph"/>
        <w:numPr>
          <w:ilvl w:val="1"/>
          <w:numId w:val="1"/>
        </w:numPr>
        <w:ind w:left="567"/>
        <w:rPr>
          <w:b/>
          <w:u w:val="single"/>
        </w:rPr>
      </w:pPr>
      <w:r w:rsidRPr="00F37C05">
        <w:rPr>
          <w:b/>
          <w:u w:val="single"/>
        </w:rPr>
        <w:t xml:space="preserve">‘Reasoning’   </w:t>
      </w:r>
    </w:p>
    <w:p w14:paraId="47284544" w14:textId="72B68995" w:rsidR="00987731" w:rsidRPr="00F37C05" w:rsidRDefault="00F37C05" w:rsidP="00987731">
      <w:pPr>
        <w:ind w:left="284"/>
        <w:rPr>
          <w:bCs/>
        </w:rPr>
      </w:pPr>
      <w:r w:rsidRPr="00F37C05">
        <w:rPr>
          <w:bCs/>
        </w:rPr>
        <w:t>Following on from (g) if you believe that more can be done, list your r</w:t>
      </w:r>
      <w:r w:rsidR="00987731" w:rsidRPr="00F37C05">
        <w:rPr>
          <w:bCs/>
        </w:rPr>
        <w:t xml:space="preserve">ecommendations </w:t>
      </w:r>
      <w:r>
        <w:rPr>
          <w:bCs/>
        </w:rPr>
        <w:t xml:space="preserve">and </w:t>
      </w:r>
      <w:r w:rsidRPr="00F37C05">
        <w:rPr>
          <w:bCs/>
        </w:rPr>
        <w:t>a</w:t>
      </w:r>
      <w:r w:rsidR="00987731" w:rsidRPr="00F37C05">
        <w:rPr>
          <w:bCs/>
        </w:rPr>
        <w:t xml:space="preserve">ction </w:t>
      </w:r>
      <w:r w:rsidRPr="00F37C05">
        <w:rPr>
          <w:bCs/>
        </w:rPr>
        <w:t>p</w:t>
      </w:r>
      <w:r w:rsidR="00987731" w:rsidRPr="00F37C05">
        <w:rPr>
          <w:bCs/>
        </w:rPr>
        <w:t xml:space="preserve">lans </w:t>
      </w:r>
      <w:r w:rsidRPr="00F37C05">
        <w:rPr>
          <w:bCs/>
        </w:rPr>
        <w:t xml:space="preserve">here in detail. </w:t>
      </w:r>
      <w:r>
        <w:rPr>
          <w:bCs/>
        </w:rPr>
        <w:t xml:space="preserve">Explain what you need, explain how this will help explain what road blocks you are facing etc </w:t>
      </w:r>
      <w:proofErr w:type="spellStart"/>
      <w:r>
        <w:rPr>
          <w:bCs/>
        </w:rPr>
        <w:t>etc</w:t>
      </w:r>
      <w:proofErr w:type="spellEnd"/>
      <w:r>
        <w:rPr>
          <w:bCs/>
        </w:rPr>
        <w:t>.</w:t>
      </w:r>
      <w:r w:rsidR="00987731" w:rsidRPr="00F37C05">
        <w:rPr>
          <w:bCs/>
        </w:rPr>
        <w:t xml:space="preserve">  </w:t>
      </w:r>
    </w:p>
    <w:p w14:paraId="6EF60B21" w14:textId="77777777" w:rsidR="00B10833" w:rsidRPr="00B10833" w:rsidRDefault="00B10833" w:rsidP="00715C19">
      <w:pPr>
        <w:ind w:left="284"/>
        <w:rPr>
          <w:b/>
          <w:u w:val="single"/>
        </w:rPr>
      </w:pPr>
      <w:r w:rsidRPr="00B10833">
        <w:rPr>
          <w:b/>
          <w:u w:val="single"/>
        </w:rPr>
        <w:t>Reviewed with no change</w:t>
      </w:r>
    </w:p>
    <w:p w14:paraId="7015F17D" w14:textId="2E8CE02F" w:rsidR="00B10833" w:rsidRDefault="00B10833" w:rsidP="00715C19">
      <w:pPr>
        <w:ind w:left="284"/>
      </w:pPr>
      <w:r>
        <w:t xml:space="preserve">If there are no changes or updates you </w:t>
      </w:r>
      <w:r w:rsidRPr="00B10833">
        <w:rPr>
          <w:b/>
        </w:rPr>
        <w:t>MUST</w:t>
      </w:r>
      <w:r>
        <w:t xml:space="preserve"> make a record of the fact that you have reviewed the file, otherwise your time and effort will not be demonstrated. Simply</w:t>
      </w:r>
      <w:r w:rsidR="00C85EB3">
        <w:t xml:space="preserve"> update the ‘Assurance section’ with </w:t>
      </w:r>
      <w:r w:rsidR="0078474C">
        <w:t>your name, the date and ‘no change’.</w:t>
      </w:r>
      <w:r>
        <w:t xml:space="preserve"> </w:t>
      </w:r>
    </w:p>
    <w:p w14:paraId="63A51297" w14:textId="1ACEAF01" w:rsidR="00A069A5" w:rsidRDefault="00A069A5" w:rsidP="00715C19">
      <w:pPr>
        <w:ind w:left="284"/>
      </w:pPr>
    </w:p>
    <w:p w14:paraId="479E0936" w14:textId="77777777" w:rsidR="00A069A5" w:rsidRPr="00B10833" w:rsidRDefault="00A069A5" w:rsidP="00F0123F">
      <w:pPr>
        <w:ind w:left="720"/>
      </w:pPr>
    </w:p>
    <w:sectPr w:rsidR="00A069A5" w:rsidRPr="00B10833" w:rsidSect="003F5E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C1DD7"/>
    <w:multiLevelType w:val="hybridMultilevel"/>
    <w:tmpl w:val="F6E44AA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F1F3F21"/>
    <w:multiLevelType w:val="hybridMultilevel"/>
    <w:tmpl w:val="A6186F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4732885"/>
    <w:multiLevelType w:val="hybridMultilevel"/>
    <w:tmpl w:val="AD3097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1EF0B90"/>
    <w:multiLevelType w:val="hybridMultilevel"/>
    <w:tmpl w:val="9B6E6304"/>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A4A0AB2"/>
    <w:multiLevelType w:val="hybridMultilevel"/>
    <w:tmpl w:val="CC8E0C4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3364B8C"/>
    <w:multiLevelType w:val="hybridMultilevel"/>
    <w:tmpl w:val="8910C77C"/>
    <w:lvl w:ilvl="0" w:tplc="14090001">
      <w:start w:val="1"/>
      <w:numFmt w:val="bullet"/>
      <w:lvlText w:val=""/>
      <w:lvlJc w:val="left"/>
      <w:pPr>
        <w:ind w:left="1287" w:hanging="360"/>
      </w:pPr>
      <w:rPr>
        <w:rFonts w:ascii="Symbol" w:hAnsi="Symbol" w:hint="default"/>
      </w:rPr>
    </w:lvl>
    <w:lvl w:ilvl="1" w:tplc="14090001">
      <w:start w:val="1"/>
      <w:numFmt w:val="bullet"/>
      <w:lvlText w:val=""/>
      <w:lvlJc w:val="left"/>
      <w:pPr>
        <w:ind w:left="2007" w:hanging="360"/>
      </w:pPr>
      <w:rPr>
        <w:rFonts w:ascii="Symbol" w:hAnsi="Symbol"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75366DD7"/>
    <w:multiLevelType w:val="hybridMultilevel"/>
    <w:tmpl w:val="9AA09CBA"/>
    <w:lvl w:ilvl="0" w:tplc="1409000F">
      <w:start w:val="1"/>
      <w:numFmt w:val="decimal"/>
      <w:lvlText w:val="%1."/>
      <w:lvlJc w:val="left"/>
      <w:pPr>
        <w:ind w:left="720" w:hanging="360"/>
      </w:pPr>
      <w:rPr>
        <w:rFonts w:hint="default"/>
      </w:rPr>
    </w:lvl>
    <w:lvl w:ilvl="1" w:tplc="004837B6">
      <w:start w:val="1"/>
      <w:numFmt w:val="lowerLetter"/>
      <w:lvlText w:val="%2."/>
      <w:lvlJc w:val="left"/>
      <w:pPr>
        <w:ind w:left="1440" w:hanging="360"/>
      </w:pPr>
      <w:rPr>
        <w:b/>
        <w:bCs w: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12360340">
    <w:abstractNumId w:val="6"/>
  </w:num>
  <w:num w:numId="2" w16cid:durableId="2125882701">
    <w:abstractNumId w:val="3"/>
  </w:num>
  <w:num w:numId="3" w16cid:durableId="895241526">
    <w:abstractNumId w:val="2"/>
  </w:num>
  <w:num w:numId="4" w16cid:durableId="1151671777">
    <w:abstractNumId w:val="4"/>
  </w:num>
  <w:num w:numId="5" w16cid:durableId="1244946013">
    <w:abstractNumId w:val="5"/>
  </w:num>
  <w:num w:numId="6" w16cid:durableId="1689520456">
    <w:abstractNumId w:val="1"/>
  </w:num>
  <w:num w:numId="7" w16cid:durableId="133799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8F"/>
    <w:rsid w:val="000021FF"/>
    <w:rsid w:val="00063A3A"/>
    <w:rsid w:val="0007507E"/>
    <w:rsid w:val="00084A20"/>
    <w:rsid w:val="000A127D"/>
    <w:rsid w:val="000A37DF"/>
    <w:rsid w:val="000F38EC"/>
    <w:rsid w:val="00181F49"/>
    <w:rsid w:val="00213C89"/>
    <w:rsid w:val="00247CC1"/>
    <w:rsid w:val="00272EDA"/>
    <w:rsid w:val="002B362F"/>
    <w:rsid w:val="002E4B60"/>
    <w:rsid w:val="00313008"/>
    <w:rsid w:val="003A10B3"/>
    <w:rsid w:val="003F5E29"/>
    <w:rsid w:val="004317A7"/>
    <w:rsid w:val="00444E37"/>
    <w:rsid w:val="00454329"/>
    <w:rsid w:val="0046329B"/>
    <w:rsid w:val="004906D9"/>
    <w:rsid w:val="00587C23"/>
    <w:rsid w:val="005B3E67"/>
    <w:rsid w:val="00606E5C"/>
    <w:rsid w:val="006D3C51"/>
    <w:rsid w:val="00715C19"/>
    <w:rsid w:val="00734207"/>
    <w:rsid w:val="00746025"/>
    <w:rsid w:val="0078474C"/>
    <w:rsid w:val="007D4305"/>
    <w:rsid w:val="007F4D5D"/>
    <w:rsid w:val="0080538F"/>
    <w:rsid w:val="00853FAB"/>
    <w:rsid w:val="008D71FF"/>
    <w:rsid w:val="009231CC"/>
    <w:rsid w:val="00987731"/>
    <w:rsid w:val="009E3E06"/>
    <w:rsid w:val="009F128B"/>
    <w:rsid w:val="00A069A5"/>
    <w:rsid w:val="00A65759"/>
    <w:rsid w:val="00AD61BA"/>
    <w:rsid w:val="00B048E0"/>
    <w:rsid w:val="00B05F1C"/>
    <w:rsid w:val="00B10833"/>
    <w:rsid w:val="00C04F26"/>
    <w:rsid w:val="00C85EB3"/>
    <w:rsid w:val="00CC7686"/>
    <w:rsid w:val="00D155C8"/>
    <w:rsid w:val="00D3428D"/>
    <w:rsid w:val="00DE2BCB"/>
    <w:rsid w:val="00E10AED"/>
    <w:rsid w:val="00E10DCE"/>
    <w:rsid w:val="00E42CB4"/>
    <w:rsid w:val="00EB2314"/>
    <w:rsid w:val="00EF4DA0"/>
    <w:rsid w:val="00F0123F"/>
    <w:rsid w:val="00F31857"/>
    <w:rsid w:val="00F37C05"/>
    <w:rsid w:val="00F54C25"/>
    <w:rsid w:val="00F65B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2418"/>
  <w15:docId w15:val="{D7A737C4-AD2C-4B1B-B059-20DE567D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538F"/>
    <w:pPr>
      <w:ind w:left="720"/>
      <w:contextualSpacing/>
    </w:pPr>
  </w:style>
  <w:style w:type="character" w:styleId="Hyperlink">
    <w:name w:val="Hyperlink"/>
    <w:basedOn w:val="DefaultParagraphFont"/>
    <w:uiPriority w:val="99"/>
    <w:unhideWhenUsed/>
    <w:rsid w:val="00B048E0"/>
    <w:rPr>
      <w:color w:val="0563C1" w:themeColor="hyperlink"/>
      <w:u w:val="single"/>
    </w:rPr>
  </w:style>
  <w:style w:type="character" w:styleId="UnresolvedMention">
    <w:name w:val="Unresolved Mention"/>
    <w:basedOn w:val="DefaultParagraphFont"/>
    <w:uiPriority w:val="99"/>
    <w:semiHidden/>
    <w:unhideWhenUsed/>
    <w:rsid w:val="00B04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456650">
      <w:bodyDiv w:val="1"/>
      <w:marLeft w:val="0"/>
      <w:marRight w:val="0"/>
      <w:marTop w:val="0"/>
      <w:marBottom w:val="0"/>
      <w:divBdr>
        <w:top w:val="none" w:sz="0" w:space="0" w:color="auto"/>
        <w:left w:val="none" w:sz="0" w:space="0" w:color="auto"/>
        <w:bottom w:val="none" w:sz="0" w:space="0" w:color="auto"/>
        <w:right w:val="none" w:sz="0" w:space="0" w:color="auto"/>
      </w:divBdr>
      <w:divsChild>
        <w:div w:id="246499223">
          <w:marLeft w:val="0"/>
          <w:marRight w:val="0"/>
          <w:marTop w:val="0"/>
          <w:marBottom w:val="0"/>
          <w:divBdr>
            <w:top w:val="none" w:sz="0" w:space="0" w:color="auto"/>
            <w:left w:val="none" w:sz="0" w:space="0" w:color="auto"/>
            <w:bottom w:val="none" w:sz="0" w:space="0" w:color="auto"/>
            <w:right w:val="none" w:sz="0" w:space="0" w:color="auto"/>
          </w:divBdr>
        </w:div>
        <w:div w:id="459424769">
          <w:marLeft w:val="0"/>
          <w:marRight w:val="0"/>
          <w:marTop w:val="0"/>
          <w:marBottom w:val="0"/>
          <w:divBdr>
            <w:top w:val="none" w:sz="0" w:space="0" w:color="auto"/>
            <w:left w:val="none" w:sz="0" w:space="0" w:color="auto"/>
            <w:bottom w:val="none" w:sz="0" w:space="0" w:color="auto"/>
            <w:right w:val="none" w:sz="0" w:space="0" w:color="auto"/>
          </w:divBdr>
        </w:div>
        <w:div w:id="908924985">
          <w:marLeft w:val="0"/>
          <w:marRight w:val="0"/>
          <w:marTop w:val="0"/>
          <w:marBottom w:val="0"/>
          <w:divBdr>
            <w:top w:val="none" w:sz="0" w:space="0" w:color="auto"/>
            <w:left w:val="none" w:sz="0" w:space="0" w:color="auto"/>
            <w:bottom w:val="none" w:sz="0" w:space="0" w:color="auto"/>
            <w:right w:val="none" w:sz="0" w:space="0" w:color="auto"/>
          </w:divBdr>
        </w:div>
        <w:div w:id="1082797867">
          <w:marLeft w:val="0"/>
          <w:marRight w:val="0"/>
          <w:marTop w:val="0"/>
          <w:marBottom w:val="0"/>
          <w:divBdr>
            <w:top w:val="none" w:sz="0" w:space="0" w:color="auto"/>
            <w:left w:val="none" w:sz="0" w:space="0" w:color="auto"/>
            <w:bottom w:val="none" w:sz="0" w:space="0" w:color="auto"/>
            <w:right w:val="none" w:sz="0" w:space="0" w:color="auto"/>
          </w:divBdr>
        </w:div>
        <w:div w:id="1275478906">
          <w:marLeft w:val="0"/>
          <w:marRight w:val="0"/>
          <w:marTop w:val="0"/>
          <w:marBottom w:val="0"/>
          <w:divBdr>
            <w:top w:val="none" w:sz="0" w:space="0" w:color="auto"/>
            <w:left w:val="none" w:sz="0" w:space="0" w:color="auto"/>
            <w:bottom w:val="none" w:sz="0" w:space="0" w:color="auto"/>
            <w:right w:val="none" w:sz="0" w:space="0" w:color="auto"/>
          </w:divBdr>
        </w:div>
        <w:div w:id="1673798339">
          <w:marLeft w:val="0"/>
          <w:marRight w:val="0"/>
          <w:marTop w:val="0"/>
          <w:marBottom w:val="0"/>
          <w:divBdr>
            <w:top w:val="none" w:sz="0" w:space="0" w:color="auto"/>
            <w:left w:val="none" w:sz="0" w:space="0" w:color="auto"/>
            <w:bottom w:val="none" w:sz="0" w:space="0" w:color="auto"/>
            <w:right w:val="none" w:sz="0" w:space="0" w:color="auto"/>
          </w:divBdr>
        </w:div>
        <w:div w:id="1854685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otago.ac.nz/risk/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Alcock</dc:creator>
  <cp:keywords/>
  <dc:description/>
  <cp:lastModifiedBy>Wendy Houliston</cp:lastModifiedBy>
  <cp:revision>2</cp:revision>
  <dcterms:created xsi:type="dcterms:W3CDTF">2024-09-04T21:41:00Z</dcterms:created>
  <dcterms:modified xsi:type="dcterms:W3CDTF">2024-09-04T21:41:00Z</dcterms:modified>
</cp:coreProperties>
</file>